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6E" w:rsidRPr="00A8516E" w:rsidRDefault="00A8516E" w:rsidP="00A8516E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A5B7"/>
          <w:kern w:val="36"/>
          <w:sz w:val="28"/>
          <w:szCs w:val="28"/>
          <w:lang w:eastAsia="pt-BR"/>
        </w:rPr>
      </w:pPr>
      <w:r w:rsidRPr="00A8516E">
        <w:rPr>
          <w:rFonts w:ascii="inherit" w:eastAsia="Times New Roman" w:hAnsi="inherit" w:cs="Times New Roman"/>
          <w:b/>
          <w:bCs/>
          <w:color w:val="00A5B7"/>
          <w:kern w:val="36"/>
          <w:sz w:val="28"/>
          <w:szCs w:val="28"/>
          <w:lang w:eastAsia="pt-BR"/>
        </w:rPr>
        <w:t>RESOLUÇÃO Nº 5377, DE 05 DE DEZEMBRO DE 2006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 xml:space="preserve">(Alterada pelas Resoluções </w:t>
      </w:r>
      <w:hyperlink r:id="rId4" w:tooltip="RESOLUÇÃO Nº 5454, DE 18 DE JUNHO DE 2008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5454/2008</w:t>
        </w:r>
      </w:hyperlink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>,</w:t>
      </w:r>
      <w:r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 xml:space="preserve"> </w:t>
      </w:r>
      <w:hyperlink r:id="rId5" w:tooltip="RESOLUÇÃO Nº 5480, DE 02 DE OUTUBRO DE 2008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5480/2008</w:t>
        </w:r>
      </w:hyperlink>
      <w:r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 xml:space="preserve"> e </w:t>
      </w:r>
      <w:hyperlink r:id="rId6" w:tooltip="RESOLUÇÃO Nº 5824, DE 17 DE DEZEMBRO DE 2009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5824/2009</w:t>
        </w:r>
      </w:hyperlink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>)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>(Retificada em 14.12.2006)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>(Esta é uma versão CONSOLID</w:t>
      </w:r>
      <w:r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 xml:space="preserve">ADA. Para ver a versão original </w:t>
      </w:r>
      <w:bookmarkStart w:id="0" w:name="_GoBack"/>
      <w:bookmarkEnd w:id="0"/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fldChar w:fldCharType="begin"/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instrText xml:space="preserve"> HYPERLINK "http://www.leginf.usp.br/?resolucao=resolucao-no-5377-de-05-de-dezembro-de-2006" \o "RESOLU</w:instrText>
      </w:r>
      <w:r w:rsidRPr="00A8516E">
        <w:rPr>
          <w:rFonts w:ascii="inherit" w:eastAsia="Times New Roman" w:hAnsi="inherit" w:cs="Helvetica" w:hint="eastAsi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instrText>ÇÃ</w:instrTex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instrText>O N</w:instrText>
      </w:r>
      <w:r w:rsidRPr="00A8516E">
        <w:rPr>
          <w:rFonts w:ascii="inherit" w:eastAsia="Times New Roman" w:hAnsi="inherit" w:cs="Helvetica" w:hint="eastAsi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instrText>º</w:instrTex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instrText xml:space="preserve"> 5377, DE 05 DE DEZEMBRO DE 2006" </w:instrTex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fldChar w:fldCharType="separate"/>
      </w:r>
      <w:r w:rsidRPr="00A8516E">
        <w:rPr>
          <w:rFonts w:ascii="inherit" w:eastAsia="Times New Roman" w:hAnsi="inherit" w:cs="Helvetica"/>
          <w:i/>
          <w:iCs/>
          <w:color w:val="1982D1"/>
          <w:sz w:val="28"/>
          <w:szCs w:val="28"/>
          <w:bdr w:val="none" w:sz="0" w:space="0" w:color="auto" w:frame="1"/>
          <w:lang w:eastAsia="pt-BR"/>
        </w:rPr>
        <w:t>clique aqui</w: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fldChar w:fldCharType="end"/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bdr w:val="none" w:sz="0" w:space="0" w:color="auto" w:frame="1"/>
          <w:lang w:eastAsia="pt-BR"/>
        </w:rPr>
        <w:t>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Baixa o Regimento da Faculdade de Direito da Universidade de São Paulo.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A Reitora da Universidade de São Paulo, usando de suas atribuições legais, nos termos do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  </w:t>
      </w:r>
      <w:hyperlink r:id="rId7" w:anchor="a42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42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IX, do Estatuto da USP e tendo em vista o deliberado pelo Conselho Universitário, em sessão de 28 de novembro de 2006, baixa a seguinte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RESOLUÇÃO: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Fica aprovado o Regimento da Faculdade de Direito da Universidade de São Paulo, publicado com esta Resolução.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2º 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Esta Resolução entra em vigor na data de sua publicação.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Reitoria da Universidade de São Paulo, 05 de dezembro de 2006.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SUELY VILELA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br/>
        <w:t>Reitora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MARIA FIDELA DE LIMA NAVARRO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br/>
        <w:t>Secretária Geral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pt-BR"/>
        </w:rPr>
      </w:pPr>
      <w:r w:rsidRPr="00A8516E">
        <w:rPr>
          <w:rFonts w:ascii="Helvetica" w:eastAsia="Times New Roman" w:hAnsi="Helvetica" w:cs="Helvetica"/>
          <w:color w:val="373737"/>
          <w:sz w:val="28"/>
          <w:szCs w:val="28"/>
          <w:lang w:eastAsia="pt-BR"/>
        </w:rPr>
        <w:pict>
          <v:rect id="_x0000_i1025" style="width:0;height:.75pt" o:hralign="center" o:hrstd="t" o:hr="t" fillcolor="#a0a0a0" stroked="f"/>
        </w:pic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REGIMENTO DA FACULDADE DE DIREITO DA USP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CONSTITUIÇÃO E FINALIDADES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Faculdade de Direito de São Paulo, criada pela Lei de 11 de agosto de 1827, transferida pelo Governo da União ao Estado de São Paulo, nos termos e condições do Decreto Federal nº 24.102, de 10 de abril de 1934, e incorporada à Universidade de São Paulo pelo Decreto nº 6.429, de 09 de maio de 1934, rege-se pelo presente Regimento.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Artigo 2º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Constituem patrimônio sob administração da Faculdade: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os prédios em que funciona;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 biblioteca;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os bens móveis por elas utilizados;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os donativos e legados recebidos.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São suas finalidades: ministrar o ensino, desenvolver pesquisas no campo do Direito, promover prestação de serviços à comunidade e zelar pela observância dos direitos fundamentais.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ADMINISTRAÇÃO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ÓRGÃOS DE ADMINISTRAÇ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São órgãos de administração da Faculdade de Direito: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Congregação;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Conselho Técnico-Administrativo (CTA);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Diretoria;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Comissão de Graduação (CG);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 – Comissão de Pós-Graduação (CPG);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 – Comissão de Pesquisa (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CPq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VII – Comissão de Cultura e Extensão Universitária (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CCEx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).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DA CONGREGAÇÃO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Composição e atribuições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5º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Compõe-se a Congregação pelo modo previsto no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  </w:t>
      </w:r>
      <w:hyperlink r:id="rId8" w:anchor="a45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45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do Estatuto da Universidade de São Paulo, asseguradas, ainda, as seguintes participações: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do Presidente da Comissão de Pesquisa;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do Presidente da Comissão de Cultura e Extensão Universitária;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de todos os Professores Titulares;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de representantes de cada uma das demais categorias docentes;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 – de três representantes dos servidores não-docentes, lotados na Faculdade de Direito;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 – de um representante dos antigos alunos de graduação, eleito por seus pares, com mandato de um ano, admitindo-se uma recondução.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Parágrafo único – A representação docente, a que se refere o inciso III, será integrada pelo modo indicado no § 1º, do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  </w:t>
      </w:r>
      <w:hyperlink r:id="rId9" w:anchor="a45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45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do Estatuto da Universidade de São Paulo, assegurada a participação de Professores Doutores em número equivalente a 30% (trinta por cento) dos Titulares.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6º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À Congregação, além das atribuições conferidas pelo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</w:t>
      </w:r>
      <w:hyperlink r:id="rId10" w:anchor="a39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39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Regimento Geral, compete: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fixar, por proposta da Comissão de Graduação, os critérios, a periodicidade e os métodos de avaliação do corpo docente;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opinar sobre aceitação de doações e legados clausulados;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opinar sobre o considerável valor jurídico, histórico, artístico ou cultural dos bens integrantes do patrimônio da Faculdade, decidindo sobre quais deles se revestem dessas características, sempre que um caso concreto de sua cessão, a qualquer título se apresentar;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aprovar proposta de realização de convênios com outras instituições.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Seção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trabalhos da Congregação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7º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Salvo casos especiais, o </w:t>
      </w:r>
      <w:proofErr w:type="spellStart"/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lang w:eastAsia="pt-BR"/>
        </w:rPr>
        <w:t>quorum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de funcionamento da Congregação será de mais da metade de seus membros.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O comparecimento às sessões é obrigatório e tem preferência sobre qualquer outra atividade acadêmica.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O não comparecimento injustificado será considerado falta para os efeitos legais.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8º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Congregação reunir-se-á, ordinariamente, uma vez por mês, durante o período letivo.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As sessões deverão ocorrer, de preferência, na última quinta-feira de cada mês.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 convocação, com a pauta devidamente instruída, será feita com antecedência mínima de cinco dias.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3º – Não havendo número em primeira convocação, poderá ser feita a segunda com intervalo mínimo de meia hora.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4º – Persistindo a falta de número, terá lugar a terceira convocação, admissível com meia hora de intervalo após a segunda, podendo a Congregação, então, deliberar com qualquer número, ressalvados os casos de </w:t>
      </w:r>
      <w:proofErr w:type="spellStart"/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lang w:eastAsia="pt-BR"/>
        </w:rPr>
        <w:t>quorum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especial.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5º – Em caso de urgência ou necessidade, poderão ser convocadas sessões extraordinárias no prazo de 48 (quarenta e oito) horas, por iniciativa do Diretor, com declaração de motivos, ou por proposta escrita de 1/3 (um terço) dos membros do colegiado.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6º – Os autos dos processos, constantes da pauta, ficarão à disposição dos membros do colegiado no Serviço de Apoio Acadêmico, podendo-se deles extrair fotocópias.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9º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Às reuniões da Congregação somente terão acesso: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I – os seus membros;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 juízo do colegiado, pessoa estranha, a fim de prestar esclarecimentos sobre assuntos especiais;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os advogados dos interessados, para sustentação, em processos administrativos.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10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sessões solenes públicas serão convocadas para abertura do ano letivo, recepção ao novo Diretor, posse dos Professores Titulares, comemorações, homenagens e colação de grau, a qual será sempre realizada no recinto da Faculdade.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11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votação poderá ser secreta, quando aprovada pela Congregação, em virtude de requerimento justificado de qualquer de seus membros.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A votação será secreta: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a) quando envolver interesse pessoal de membro da Congregação;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b) quando deliberar sobre títulos honoríficos;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c) quanto à composição de banca para professor titular;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d) quanto à eleição de qualquer natureza.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12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ordem dos trabalhos será a seguinte: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discussão e aprovação da ata da sessão anterior;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expediente;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ordem do dia.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No expediente far-se-ão as comunicações de caráter geral, podendo cada membro usar da palavra uma única vez.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 ordem do dia obedecerá à pauta previamente distribuída, salvo inversão autorizada.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§ 3º – Só serão admitidos apartes com a anuência do orador.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13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decisões ou os pareceres da Congregação serão adotados por maioria simples, exceto nos casos especificados no Estatuto e no Regimento Geral da Universidade de São Paulo, e neste Regimento.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 CONSELHO TÉCNICO-ADMINISTRATIVO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Composição e atribuições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14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O Conselho Técnico Administrativo (CTA), presidido pelo Diretor, compor-se-á pelo modo previsto no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  40</w:t>
      </w:r>
      <w:proofErr w:type="gram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do Regimento Geral da Universidade de São Paulo, dele participando, ainda, o representante discente do curso de graduação.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15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Ao CTA, além das atribuições conferidas pelo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</w:t>
      </w:r>
      <w:hyperlink r:id="rId11" w:anchor="a41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41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Regimento Geral, compete: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decidir sobre a aplicação, a membros do corpo docente, de pena de suspensão superior a trinta dias, assegurado o direito de ampla defesa;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II – decidir sobre o comissionamento, remanejamento ou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relotação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de servidores não docentes, quando com essas alterações não concorde o Chefe do Departamento interessado;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decidir sobre as matérias que lhe forem delegadas pela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trabalhos do CTA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16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Os trabalhos do CTA observarão o mesmo procedimento dos da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IV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 DIRETOR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Escolha e atribuições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17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Diretor, escolhido na forma do disposto no artigo </w:t>
      </w:r>
      <w:hyperlink r:id="rId12" w:anchor="a46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46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do Estatuto, terá as atribuições enumeradas no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  42</w:t>
      </w:r>
      <w:proofErr w:type="gram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do Regimento Geral.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18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Compete ainda ao Diretor: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convocar a eleição de representantes das diversas categorias docentes e de servidores não-docentes, junto aos órgãos de administração;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autorizar a matrícula de estudante-convênio;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tomar, em caso de urgência, as medidas que se fizerem necessárias, </w: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lang w:eastAsia="pt-BR"/>
        </w:rPr>
        <w:t>ad referendum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da Congregação;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zelar pela fiel execução do Estatuto da USP, do Regimento Geral e do presente Regimento.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V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COMISSÃO DE GRADUAÇÃO (CG)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Composição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19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Comissão de Graduação (CG) é constituída por: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9 (nove) membros do corpo docente eleitos pela Congregação;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2 (dois) alunos de graduação, sendo um do curso diurno e outro do curso noturno, eleitos por seus pares.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1º- Os membros titulares e respectivos suplentes serão eleitos simultaneamente.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 Comissão de Graduação elegerá o seu Presidente e respectivo suplente.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 xml:space="preserve">§ 3º – O mandato do Presidente e dos membros da Comissão de Graduação obedecerá ao disposto no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 1</w:t>
      </w:r>
      <w:proofErr w:type="gram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º da Resolução CoG-</w:t>
      </w:r>
      <w:hyperlink r:id="rId13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3741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de 26 de setembro de 1990.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20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Comissão de Graduação poderá criar Câmaras para agilizar os seus procedimentos.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Atribuições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21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Competem à Comissão de Graduação as atribuições que lhe foram conferidas pelo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</w:t>
      </w:r>
      <w:hyperlink r:id="rId14" w:anchor="a48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48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, do Estatuto da USP e pelo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 2º da Resolução CoG-</w:t>
      </w:r>
      <w:hyperlink r:id="rId15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3741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de 26 de setembro de 1990, respeitados, no que couber, as competências e os critérios estabelecidos pelo Conselho de Graduação.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22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A Comissão de Graduação contará com os meios e os auxiliares necessários ao desempenho de suas atribuições, os quais serão solicitados ao Diretor pelo Presidente e ficarão a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este subordinados</w:t>
      </w:r>
      <w:proofErr w:type="gram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23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diretrizes e normas aprovadas pela Comissão de Graduação, em matéria de sua competência estatutária, serão veiculadas mediante deliberação.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Para seu fiel cumprimento, as deliberações da Comissão de Graduação serão comunicadas ao Diretor e aos Chefes de Departamento.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24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É facultado à Comissão de Graduação elaborar o seu regimento interno, submetendo-o à aprovação da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25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Ao Presidente da Comissão de Graduação compete: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representar a Faculdade junto ao Conselho de Graduação;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coordenar os trabalhos da Comissão de Graduação;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convocar e presidir as reuniões da Comissão de Graduação, com direito a voto, além do voto de qualidade;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requisitar às chefias dos Departamentos e dos órgãos técnicos e administrativos da Faculdade as providências necessárias à execução das deliberações da Comissão de Graduação;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V – exercer outras atribuições que lhe forem conferidas pelo Conselho de Graduação, por este Regimento, ou por delegação de órgãos superiores.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VI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COMISSÃO DE PÓS-GRADUAÇÃO (CPG)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Composição e atribuições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26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Comissão de Pós-Graduação é constituída por: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9 (nove) membros do corpo docente, todos orientadores credenciados da Pós-Graduação;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2 (dois) alunos do curso de pós-graduação, eleitos por seus pares, com mandato de um ano, sendo-lhes permitida uma recondução.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O prazo dos mandatos de seus membros será de 3 (três) anos, sendo-lhes permitida uma recondução.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Anualmente proceder-se-á à renovação de um terço dos membros da Comissão.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3º – Os membros docentes da Comissão de Pós-Graduação serão escolhidos pela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27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À Comissão de Pós-Graduação, observada a orientação do Conselho Central de Pós-Graduação da USP (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CoPGr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), cabe traçar as diretrizes e zelar pela execução dos programas de pós-graduação, bem como coordenar as atividades didático-científicas pertinentes, no âmbito da Faculdade de Direito.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VII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DAS COMISSÕES DE PESQUISA (</w:t>
      </w:r>
      <w:proofErr w:type="spellStart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CPq</w:t>
      </w:r>
      <w:proofErr w:type="spellEnd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proofErr w:type="gramStart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e</w:t>
      </w:r>
      <w:proofErr w:type="gramEnd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 xml:space="preserve"> de CULTURA E EXTENSÃO UNIVERSITÁRIA (</w:t>
      </w:r>
      <w:proofErr w:type="spellStart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CCEx</w:t>
      </w:r>
      <w:proofErr w:type="spellEnd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Composição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28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 Comissão de Pesquisa e a Comissão de Cultura e Extensão Universitária são constituídas, respectivamente, por: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5 (cinco) membros do corpo docente;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1 (um) representante discente de graduação e 1 (um) de pós-graduação, ambos eleitos por seus pares, com mandato de 1 (um) ano, sendo-lhes permitida uma recondução.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O prazo dos mandatos de seus membros será de 3 (três) anos, sendo-lhes permitida uma recondução.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Anualmente proceder-se-á à renovação de um terço dos membros das Comissões.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3º – Os membros docentes das Comissões de Pesquisa e de Cultura e Extensão Universitária serão escolhidos pela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Atribuições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29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À Comissão de Pesquisa compete coordenar e fomentar a pesquisa científica, canalizar informações sobre as pesquisas em andamento e processar, quando cabível, o encaminhamento aos órgãos de fomento.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Caberá ao Presidente da Comissão de Pesquisa representá-la no Conselho Central de Pesquisa (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CoPq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).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30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À Comissão de Cultura e Extensão Universitária compete coordenar e fomentar as atividades culturais e promover a extensão de serviços à comunidade.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Parágrafo único – Caberá ao Presidente da Comissão de Cultura e Extensão Universitária representá-la no Conselho Central de Cultura e Extensão Universitária (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CoCEx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)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31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Os regimentos das Comissões de Pesquisa e de Cultura e Extensão Universitária serão submetidos à aprovação da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VIII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DEPARTAMENTOS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32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Os Departamentos existentes na Faculdade de Direito são os seguintes: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Civil (DCV);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Comercial (DCO);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do Estado (DES);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do Trabalho e da Seguridade Social (DTB);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strike/>
          <w:color w:val="373737"/>
          <w:sz w:val="28"/>
          <w:szCs w:val="28"/>
          <w:bdr w:val="none" w:sz="0" w:space="0" w:color="auto" w:frame="1"/>
          <w:lang w:eastAsia="pt-BR"/>
        </w:rPr>
        <w:t>– Departamento de Direito Econômico-Financeiro (DEF);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Departamento de Direito Econômico, Financeiro e Tributário (DEF); </w:t>
      </w:r>
      <w:hyperlink r:id="rId16" w:tooltip="RESOLUÇÃO Nº 5480, DE 02 DE OUTUBRO DE 2008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(redação dada pela Resolução 5480/2008)</w:t>
        </w:r>
      </w:hyperlink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strike/>
          <w:color w:val="373737"/>
          <w:sz w:val="28"/>
          <w:szCs w:val="28"/>
          <w:bdr w:val="none" w:sz="0" w:space="0" w:color="auto" w:frame="1"/>
          <w:lang w:eastAsia="pt-BR"/>
        </w:rPr>
        <w:t>– Departamento de Direito Internacional (DIN);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Internacional e Comparado (DIN); </w:t>
      </w:r>
      <w:hyperlink r:id="rId17" w:tooltip="RESOLUÇÃO Nº 5454, DE 18 DE JUNHO DE 2008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(redação dada pelo art. 1º da Resolução 5454/2008)</w:t>
        </w:r>
      </w:hyperlink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Penal, Medicina Forense e Criminologia (DPM);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Direito Processual (DPC);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– Departamento de Filosofia e Teoria Geral do Direito (DFD).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Parágrafo único – A transformação, a criação e a divisão de Departamentos reger-se-ão pelo disposto no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</w:t>
      </w:r>
      <w:hyperlink r:id="rId18" w:anchor="a57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57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incisos I a III, e respectivo parágrafo único do Estatuto da USP.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33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São órgãos de direção dos Departamentos: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I – o Conselho do Departamento;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 Chefia do Departamento.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34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Conselho do Departamento é constituído por: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todos os Professores Titulares;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metade dos Professores Associados, assegurado um mínimo de quatro;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um quarto dos Professores Doutores, assegurado um mínimo de três;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um décimo dos Assistentes, assegurado um mínimo de um;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 – um Auxiliar de Ensino;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 – representantes discentes, equivalentes a um décimo do número de membros docentes do Conselho, assegurada a representação mínima de dois estudantes de graduação, sendo um do curso diurno e outro do curso noturno, e um estudante de pós-graduação.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Parágrafo único – A proporcionalidade na composição do Conselho, o modo de escolha e a duração do mandato dos membros regem-se pelo disposto nos §§ 2º a 8º do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</w:t>
      </w:r>
      <w:hyperlink r:id="rId19" w:anchor="a54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54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Estatuto.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35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A eleição do Chefe do Departamento, sua substituição, a vacância da função e a duração do mandato observarão ao disposto no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</w:t>
      </w:r>
      <w:hyperlink r:id="rId20" w:anchor="a55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55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Estatuto.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36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Ao Conselho do Departamento, além das atribuições conferidas pelo Estatuto e pelo Regimento Geral, compete: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indicar disciplinas para monitoria dos alunos de pós-graduação e fixar os requisitos para realização da prova de seleção;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aprovar propostas de professor que desejar instituir monitoria para alunos do curso de graduação;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propor à Congregação o programa para a prova de erudição do concurso de Professor Titular;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IV – destituir, pelo voto da maioria absoluta dos seus membros, o Chefe do Departamento que descumpra os deveres a seu cargo;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 – propor ao Conselho Técnico Administrativo (CTA) a contratação de Assistentes e Auxiliares de Ensino, submetidos previamente à prova escrita e didática;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 – deliberar, nos limites de suas atribuições, sobre outras matérias que lhe sejam submetidas pelo Chefe do Departamento.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37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Conselho do Departamento reunir-se-á sempre que convocado pelo Presidente ou por um terço dos seus membros, registrando-se as presenças em livro próprio.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Das reuniões do Conselho do Departamento lavrar-se-á ata, a ser submetida à aprovação dos que dela participarem.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38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Ao Chefe do Departamento, além das atribuições conferidas pelo Regimento Geral, compete: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exercer, em caso de urgência e </w: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lang w:eastAsia="pt-BR"/>
        </w:rPr>
        <w:t>ad referendum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Conselho do Departamento, qualquer das atribuições a ele conferidas;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designar relatores, se for o caso, para matérias que devam ser submetidas ao Conselho do Departamento;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executar outras atividades que lhe sejam atribuídas pelo Conselho do Departamento.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III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 ENSINO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GRADUAÇÃO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39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O ensino de graduação será ministrado em conformidade com as disposições do Estatuto e do Regimento Geral da USP, observadas, nas 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matérias das respectivas competências, as resoluções do Conselho de Graduação, da Congregação e da Comissão de Graduação.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PÓS-GRADUAÇÃO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40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curso de Pós-Graduação será regido pelas disposições constantes do Estatuto, do Regimento Geral e do Regulamento elaborado pela Comissão de Pós-Graduação, aprovado pela Congregação.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IV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 CORPO DOCENTE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CARREIRA DOCENTE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concursos para o cargo de Professor Doutor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41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concurso para Professor Doutor constará de: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I – prova pública de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argüição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de memorial – peso 4;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prova didática – peso 3;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prova escrita – peso 3.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As inscrições para o concurso serão abertas pelo prazo de 30 (trinta) dias.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proofErr w:type="gramStart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  41</w:t>
      </w:r>
      <w:proofErr w:type="gramEnd"/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-A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provas do concurso para Professor Doutor serão realizadas em duas fases: </w:t>
      </w:r>
      <w:hyperlink r:id="rId21" w:tooltip="RESOLUÇÃO Nº 5824, DE 17 DE DEZEMBRO DE 2009" w:history="1">
        <w:r w:rsidRPr="00A8516E">
          <w:rPr>
            <w:rFonts w:ascii="inherit" w:eastAsia="Times New Roman" w:hAnsi="inherit" w:cs="Helvetica"/>
            <w:i/>
            <w:iCs/>
            <w:color w:val="1982D1"/>
            <w:sz w:val="28"/>
            <w:szCs w:val="28"/>
            <w:bdr w:val="none" w:sz="0" w:space="0" w:color="auto" w:frame="1"/>
            <w:lang w:eastAsia="pt-BR"/>
          </w:rPr>
          <w:t>(artigo  acrescido pela Resolução 5824/2009)</w:t>
        </w:r>
      </w:hyperlink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prova escrita eliminatória;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II – prova pública de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argüição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de memorial e prova didática.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 xml:space="preserve">§ 1º – As provas serão realizadas de acordo com o disposto nos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artigos  </w:t>
      </w:r>
      <w:hyperlink r:id="rId22" w:anchor="a136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136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 </w:t>
      </w:r>
      <w:hyperlink r:id="rId23" w:anchor="a137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137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 </w:t>
      </w:r>
      <w:hyperlink r:id="rId24" w:anchor="a139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139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e </w:t>
      </w:r>
      <w:hyperlink r:id="rId25" w:anchor="a140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140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Regimento Geral da USP e neste Regimento.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Será considerado eliminado do concurso, o candidato que obtiver, na prova escrita, nota menor do que 7,0 (sete), da maioria dos membros da Comissão Julgadora.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3º – A Comissão Julgadora apresentará, em sessão pública, as notas recebidas pelos candidatos na prova escrita eliminatória.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§ 4º – Comporão a média final de cada candidato habilitado à segunda fase as notas das provas de ambas etapas, na forma dos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artigos  </w:t>
      </w:r>
      <w:hyperlink r:id="rId26" w:anchor="a140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140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 </w:t>
      </w:r>
      <w:hyperlink r:id="rId27" w:anchor="a142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142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e </w:t>
      </w:r>
      <w:hyperlink r:id="rId28" w:anchor="a143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143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Regimento Geral.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Seção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concursos para o cargo de Professor Titular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42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concurso para Professor Titular constará de: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I – prova de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argüição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– peso 4;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prova de erudição – peso 3;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prova de títulos – peso 3.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Parágrafo único – A prova de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argüição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versará sobre tese original, apresentada pelo candidato em 100 (cem) exemplares.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43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O julgamento dos títulos, expresso mediante nota global, deverá refletir os méritos do candidato como resultado da apreciação do conjunto e regularidade de suas atividades, compreendendo: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produção científica, literária, filosófica e artística;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 – atividade didática universitária;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atividades profissionais, ou outras, quando for o caso;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atividade de formação e orientação de discípulos;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V – atividades relacionadas à prestação de serviços à comunidade;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VI – diplomas e dignidades universitárias.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A nota global resultará da média ponderada das notas de zero a dez que cada examinador atribuir a cada categoria de títulos, consignando esse julgamento em cédula apropriada, juntamente com o respectivo parecer.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Para os efeitos do parágrafo anterior, os títulos referidos no inciso I terão peso 3, o do inciso II, peso 3, os dos incisos III, IV, V e VI, peso 1 cada.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CONCURSOS PARA O TÍTULO DE LIVRE-DOCENTE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44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inscrições para o concurso à livre-docência serão abertas anualmente, uma só vez.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As inscrições para o concurso terão o prazo de 30 (trinta dias).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45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Poderão inscrever-se os candidatos que satisfizerem a exigência prevista no </w:t>
      </w:r>
      <w:proofErr w:type="spellStart"/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 </w:t>
      </w:r>
      <w:hyperlink r:id="rId29" w:anchor="a83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83</w:t>
        </w:r>
        <w:proofErr w:type="gramEnd"/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Estatuto da USP.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46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Atribuir-se-ão às provas os seguintes pesos: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 – prova escrita – peso 2;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II – memorial com prova pública de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argüição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– peso 2;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III – prova didática – peso 3;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IV – defesa de tese – peso 3.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1º – A prova didática, que avaliará o desempenho didático do candidato será pública, sendo constituída de uma aula, a nível de pós-graduação.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§ 2º – A prova didática obedecerá as seguintes normas: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lastRenderedPageBreak/>
        <w:t>a) A comissão julgadora, com base no programa de concurso, organizará uma lista de dez pontos, da qual os candidatos tomarão conhecimento, imediatamente antes do sorteio do ponto;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b) O candidato poderá propor a substituição de pontos, imediatamente após tomar conhecimento deles, se entender que não pertencem ao programa do concurso, cabendo à comissão julgadora decidir, de plano, sobre a procedência da alegação;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c) A prova será realizada 24 horas após o sorteio do ponto e terá a duração mínima de 40 minutos e máxima de 60;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d) Se o número de candidatos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o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 exigir, eles serão divididos em grupos de no máximo três, por período, e seis por dia, observada a ordem de inscrição, para fins de sorteio e realização da prova;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e) O candidato poderá usar o material didático que julgar necessário;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f) As notas da prova didática serão atribuídas após o término da prova de todos os candidatos;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g) Cada membro da comissão julgadora poderá formular questões sobre a aula administrada, pelo prazo máximo de 15 minutos, com igual tempo para a resposta.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V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 CORPO DISCENTE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CONSTITUIÇÃO</w:t>
      </w:r>
    </w:p>
    <w:p w:rsidR="00A8516E" w:rsidRPr="00A8516E" w:rsidRDefault="00A8516E" w:rsidP="00A851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47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A constituição do corpo discente da Faculdade de Direito regula-se pelo disposto nos </w:t>
      </w:r>
      <w:proofErr w:type="gram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artigos  </w:t>
      </w:r>
      <w:hyperlink r:id="rId30" w:anchor="a203" w:history="1"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>203</w:t>
        </w:r>
        <w:proofErr w:type="gramEnd"/>
        <w:r w:rsidRPr="00A8516E">
          <w:rPr>
            <w:rFonts w:ascii="inherit" w:eastAsia="Times New Roman" w:hAnsi="inherit" w:cs="Helvetica"/>
            <w:color w:val="1982D1"/>
            <w:sz w:val="28"/>
            <w:szCs w:val="28"/>
            <w:bdr w:val="none" w:sz="0" w:space="0" w:color="auto" w:frame="1"/>
            <w:lang w:eastAsia="pt-BR"/>
          </w:rPr>
          <w:t xml:space="preserve"> a  207</w:t>
        </w:r>
      </w:hyperlink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do Regimento Geral da Universidade de São Paulo.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CAPÍTULO II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DOS ALUNOS MONITORES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lastRenderedPageBreak/>
        <w:t>Artigo 48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As funções de monitor dos cursos de graduação poderão ser exercidas por alunos matriculados nos cursos de pós-graduação </w:t>
      </w:r>
      <w:r w:rsidRPr="00A8516E">
        <w:rPr>
          <w:rFonts w:ascii="inherit" w:eastAsia="Times New Roman" w:hAnsi="inherit" w:cs="Helvetica"/>
          <w:i/>
          <w:iCs/>
          <w:color w:val="373737"/>
          <w:sz w:val="28"/>
          <w:szCs w:val="28"/>
          <w:lang w:eastAsia="pt-BR"/>
        </w:rPr>
        <w:t>stricto sensu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desta Faculdade, com rendimento escolar geral comprovadamente satisfatório, que, mediante prova de seleção específica, de caráter público, constituída por exames escritos e orais, demostrem suficiente conhecimento da matéria e capacidade de auxiliar os membros docentes do Departamento.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49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 xml:space="preserve"> – Os alunos de graduação poderão exercer monitoria, </w:t>
      </w:r>
      <w:proofErr w:type="spellStart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aplicando-se-lhes</w:t>
      </w:r>
      <w:proofErr w:type="spellEnd"/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, no que couber, as regras relativas à monitoria de pós-graduação.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50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Aos alunos monitores caberá auxiliar os membros docentes do Departamento em atividades técnico-didáticas, sendo vedado atribuir-lhes atividades docentes.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51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Aos alunos monitores poderá ser atribuída uma bolsa, bem como correspondentes créditos acadêmicos.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Parágrafo único – A monitoria será exercida pelo prazo de um ano, renovável por mais um ano.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TÍTULO VI</w:t>
      </w:r>
    </w:p>
    <w:p w:rsidR="00A8516E" w:rsidRPr="00A8516E" w:rsidRDefault="00A8516E" w:rsidP="00A8516E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DA DISPOSIÇÃO FINAL</w:t>
      </w:r>
    </w:p>
    <w:p w:rsidR="00A8516E" w:rsidRPr="00A8516E" w:rsidRDefault="00A8516E" w:rsidP="00A8516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</w:pPr>
      <w:r w:rsidRPr="00A8516E">
        <w:rPr>
          <w:rFonts w:ascii="inherit" w:eastAsia="Times New Roman" w:hAnsi="inherit" w:cs="Helvetica"/>
          <w:b/>
          <w:bCs/>
          <w:color w:val="373737"/>
          <w:sz w:val="28"/>
          <w:szCs w:val="28"/>
          <w:lang w:eastAsia="pt-BR"/>
        </w:rPr>
        <w:t>Artigo 52</w:t>
      </w:r>
      <w:r w:rsidRPr="00A8516E">
        <w:rPr>
          <w:rFonts w:ascii="inherit" w:eastAsia="Times New Roman" w:hAnsi="inherit" w:cs="Helvetica"/>
          <w:color w:val="373737"/>
          <w:sz w:val="28"/>
          <w:szCs w:val="28"/>
          <w:lang w:eastAsia="pt-BR"/>
        </w:rPr>
        <w:t> – Este Regimento, depois de aprovado pelos órgãos competentes, entrará em vigor na data de sua publicação.</w:t>
      </w:r>
    </w:p>
    <w:p w:rsidR="007D2150" w:rsidRPr="00A8516E" w:rsidRDefault="007D2150">
      <w:pPr>
        <w:rPr>
          <w:sz w:val="28"/>
          <w:szCs w:val="28"/>
        </w:rPr>
      </w:pPr>
    </w:p>
    <w:sectPr w:rsidR="007D2150" w:rsidRPr="00A85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6E"/>
    <w:rsid w:val="003B4C92"/>
    <w:rsid w:val="007D2150"/>
    <w:rsid w:val="00A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8772-6081-4641-B258-7E1592B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1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516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8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consolidada-resolucao-no-3461-de-7-de-outubro-de-1988" TargetMode="External"/><Relationship Id="rId13" Type="http://schemas.openxmlformats.org/officeDocument/2006/relationships/hyperlink" Target="http://www.leginf.usp.br/?post_type=resolucao&amp;p=6577" TargetMode="External"/><Relationship Id="rId18" Type="http://schemas.openxmlformats.org/officeDocument/2006/relationships/hyperlink" Target="http://www.leginf.usp.br/?resolucao=consolidada-resolucao-no-3461-de-7-de-outubro-de-1988" TargetMode="External"/><Relationship Id="rId26" Type="http://schemas.openxmlformats.org/officeDocument/2006/relationships/hyperlink" Target="http://www.leginf.usp.br/?post_type=resolucao&amp;p=12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ginf.usp.br/?resolucao=resolucao-no-5824-de-17-de-dezembro-de-2009" TargetMode="External"/><Relationship Id="rId7" Type="http://schemas.openxmlformats.org/officeDocument/2006/relationships/hyperlink" Target="http://www.leginf.usp.br/?resolucao=consolidada-resolucao-no-3461-de-7-de-outubro-de-1988" TargetMode="External"/><Relationship Id="rId12" Type="http://schemas.openxmlformats.org/officeDocument/2006/relationships/hyperlink" Target="http://www.leginf.usp.br/?resolucao=consolidada-resolucao-no-3461-de-7-de-outubro-de-1988" TargetMode="External"/><Relationship Id="rId17" Type="http://schemas.openxmlformats.org/officeDocument/2006/relationships/hyperlink" Target="http://www.leginf.usp.br/?resolucao=resolucao-no-5454-de-18-de-junho-de-2008" TargetMode="External"/><Relationship Id="rId25" Type="http://schemas.openxmlformats.org/officeDocument/2006/relationships/hyperlink" Target="http://www.leginf.usp.br/?post_type=resolucao&amp;p=12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ginf.usp.br/?resolucao=resolucao-no-5480-de-02-de-outubro-de-2008" TargetMode="External"/><Relationship Id="rId20" Type="http://schemas.openxmlformats.org/officeDocument/2006/relationships/hyperlink" Target="http://www.leginf.usp.br/?resolucao=consolidada-resolucao-no-3461-de-7-de-outubro-de-1988" TargetMode="External"/><Relationship Id="rId29" Type="http://schemas.openxmlformats.org/officeDocument/2006/relationships/hyperlink" Target="http://www.leginf.usp.br/?resolucao=consolidada-resolucao-no-3461-de-7-de-outubro-de-19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nf.usp.br/?resolucao=resolucao-no-5824-de-17-de-dezembro-de-2009" TargetMode="External"/><Relationship Id="rId11" Type="http://schemas.openxmlformats.org/officeDocument/2006/relationships/hyperlink" Target="http://www.leginf.usp.br/?post_type=resolucao&amp;p=12843" TargetMode="External"/><Relationship Id="rId24" Type="http://schemas.openxmlformats.org/officeDocument/2006/relationships/hyperlink" Target="http://www.leginf.usp.br/?post_type=resolucao&amp;p=1284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eginf.usp.br/?resolucao=resolucao-no-5480-de-02-de-outubro-de-2008" TargetMode="External"/><Relationship Id="rId15" Type="http://schemas.openxmlformats.org/officeDocument/2006/relationships/hyperlink" Target="http://www.leginf.usp.br/?post_type=resolucao&amp;p=6577" TargetMode="External"/><Relationship Id="rId23" Type="http://schemas.openxmlformats.org/officeDocument/2006/relationships/hyperlink" Target="http://www.leginf.usp.br/?post_type=resolucao&amp;p=12843" TargetMode="External"/><Relationship Id="rId28" Type="http://schemas.openxmlformats.org/officeDocument/2006/relationships/hyperlink" Target="http://www.leginf.usp.br/?post_type=resolucao&amp;p=12843" TargetMode="External"/><Relationship Id="rId10" Type="http://schemas.openxmlformats.org/officeDocument/2006/relationships/hyperlink" Target="http://www.leginf.usp.br/?post_type=resolucao&amp;p=12843" TargetMode="External"/><Relationship Id="rId19" Type="http://schemas.openxmlformats.org/officeDocument/2006/relationships/hyperlink" Target="http://www.leginf.usp.br/?resolucao=consolidada-resolucao-no-3461-de-7-de-outubro-de-198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leginf.usp.br/?resolucao=resolucao-no-5454-de-18-de-junho-de-2008" TargetMode="External"/><Relationship Id="rId9" Type="http://schemas.openxmlformats.org/officeDocument/2006/relationships/hyperlink" Target="http://www.leginf.usp.br/?resolucao=consolidada-resolucao-no-3461-de-7-de-outubro-de-1988" TargetMode="External"/><Relationship Id="rId14" Type="http://schemas.openxmlformats.org/officeDocument/2006/relationships/hyperlink" Target="http://www.leginf.usp.br/?resolucao=consolidada-resolucao-no-3461-de-7-de-outubro-de-1988" TargetMode="External"/><Relationship Id="rId22" Type="http://schemas.openxmlformats.org/officeDocument/2006/relationships/hyperlink" Target="http://www.leginf.usp.br/?post_type=resolucao&amp;p=12843" TargetMode="External"/><Relationship Id="rId27" Type="http://schemas.openxmlformats.org/officeDocument/2006/relationships/hyperlink" Target="http://www.leginf.usp.br/?post_type=resolucao&amp;p=12843" TargetMode="External"/><Relationship Id="rId30" Type="http://schemas.openxmlformats.org/officeDocument/2006/relationships/hyperlink" Target="http://www.leginf.usp.br/?post_type=resolucao&amp;p=128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3952</Words>
  <Characters>21543</Characters>
  <Application>Microsoft Office Word</Application>
  <DocSecurity>0</DocSecurity>
  <Lines>538</Lines>
  <Paragraphs>374</Paragraphs>
  <ScaleCrop>false</ScaleCrop>
  <Company/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2021-05-17T17:57:00Z</dcterms:created>
  <dcterms:modified xsi:type="dcterms:W3CDTF">2021-05-17T18:08:00Z</dcterms:modified>
</cp:coreProperties>
</file>